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A43C" w14:textId="651565BC" w:rsidR="00C93015" w:rsidRDefault="00C93015" w:rsidP="00C930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0ECD736" wp14:editId="73C6355A">
            <wp:extent cx="5943600" cy="734060"/>
            <wp:effectExtent l="0" t="0" r="0" b="8890"/>
            <wp:docPr id="1665190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90748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E1696" w14:textId="77777777" w:rsidR="00C93015" w:rsidRDefault="00C930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0BC69" w14:textId="77777777" w:rsidR="00C93015" w:rsidRPr="00C93015" w:rsidRDefault="00C930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6"/>
          <w:szCs w:val="26"/>
        </w:rPr>
      </w:pPr>
    </w:p>
    <w:p w14:paraId="00000001" w14:textId="59A6A2F9" w:rsidR="00657F78" w:rsidRPr="00C93015" w:rsidRDefault="00C930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 Light" w:eastAsia="Times New Roman" w:hAnsi="Calibri Light" w:cs="Calibri Light"/>
          <w:b/>
          <w:color w:val="000000"/>
          <w:sz w:val="26"/>
          <w:szCs w:val="26"/>
        </w:rPr>
      </w:pPr>
      <w:r w:rsidRPr="00C93015">
        <w:rPr>
          <w:rFonts w:ascii="Calibri Light" w:eastAsia="Times New Roman" w:hAnsi="Calibri Light" w:cs="Calibri Light"/>
          <w:b/>
          <w:sz w:val="26"/>
          <w:szCs w:val="26"/>
        </w:rPr>
        <w:t xml:space="preserve">SEFS </w:t>
      </w:r>
      <w:r w:rsidRPr="00C93015">
        <w:rPr>
          <w:rFonts w:ascii="Calibri Light" w:eastAsia="Times New Roman" w:hAnsi="Calibri Light" w:cs="Calibri Light"/>
          <w:b/>
          <w:color w:val="000000"/>
          <w:sz w:val="26"/>
          <w:szCs w:val="26"/>
        </w:rPr>
        <w:t xml:space="preserve">Retention Raise Policy </w:t>
      </w:r>
    </w:p>
    <w:p w14:paraId="00000002" w14:textId="77777777" w:rsidR="00657F78" w:rsidRPr="00C93015" w:rsidRDefault="00C930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4" w:lineRule="auto"/>
        <w:ind w:left="10" w:right="26" w:hanging="10"/>
        <w:rPr>
          <w:rFonts w:ascii="Calibri Light" w:eastAsia="Times New Roman" w:hAnsi="Calibri Light" w:cs="Calibri Light"/>
          <w:sz w:val="26"/>
          <w:szCs w:val="26"/>
        </w:rPr>
      </w:pP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The </w:t>
      </w:r>
      <w:hyperlink r:id="rId8" w:anchor="2454">
        <w:r w:rsidRPr="00C93015">
          <w:rPr>
            <w:rFonts w:ascii="Calibri Light" w:eastAsia="Times New Roman" w:hAnsi="Calibri Light" w:cs="Calibri Light"/>
            <w:color w:val="1155CC"/>
            <w:sz w:val="26"/>
            <w:szCs w:val="26"/>
            <w:u w:val="single"/>
          </w:rPr>
          <w:t xml:space="preserve">UW Faculty Code </w:t>
        </w:r>
      </w:hyperlink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section 24-71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allows the Provost to distribute funds to provide a raise to retain a  current UW faculty member, based on the recommendation of their Dean. The UW Faculty Code requires that prior to recommending a retention raise, the Dean must consult with the department chair and the department faculty must be provided the opportunity to cast an advisory vote on the retention raise. Further 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specific policies from the </w:t>
      </w:r>
      <w:hyperlink r:id="rId9">
        <w:r w:rsidRPr="00C93015">
          <w:rPr>
            <w:rFonts w:ascii="Calibri Light" w:eastAsia="Times New Roman" w:hAnsi="Calibri Light" w:cs="Calibri Light"/>
            <w:color w:val="1155CC"/>
            <w:sz w:val="26"/>
            <w:szCs w:val="26"/>
            <w:u w:val="single"/>
          </w:rPr>
          <w:t>College of the Environment</w:t>
        </w:r>
      </w:hyperlink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 and from </w:t>
      </w:r>
      <w:hyperlink r:id="rId10">
        <w:r w:rsidRPr="00C93015">
          <w:rPr>
            <w:rFonts w:ascii="Calibri Light" w:eastAsia="Times New Roman" w:hAnsi="Calibri Light" w:cs="Calibri Light"/>
            <w:color w:val="1155CC"/>
            <w:sz w:val="26"/>
            <w:szCs w:val="26"/>
            <w:u w:val="single"/>
          </w:rPr>
          <w:t>UW Academic H</w:t>
        </w:r>
      </w:hyperlink>
      <w:hyperlink r:id="rId11">
        <w:r w:rsidRPr="00C93015">
          <w:rPr>
            <w:rFonts w:ascii="Calibri Light" w:eastAsia="Times New Roman" w:hAnsi="Calibri Light" w:cs="Calibri Light"/>
            <w:color w:val="1155CC"/>
            <w:sz w:val="26"/>
            <w:szCs w:val="26"/>
            <w:u w:val="single"/>
          </w:rPr>
          <w:t>R</w:t>
        </w:r>
      </w:hyperlink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 are available to consult in the event a request for a retention offer is to be considered. </w:t>
      </w:r>
    </w:p>
    <w:p w14:paraId="00000003" w14:textId="2558C5BD" w:rsidR="00657F78" w:rsidRPr="00C93015" w:rsidRDefault="00C930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4" w:lineRule="auto"/>
        <w:ind w:left="10" w:right="26" w:hanging="10"/>
        <w:rPr>
          <w:rFonts w:ascii="Calibri Light" w:eastAsia="Times New Roman" w:hAnsi="Calibri Light" w:cs="Calibri Light"/>
          <w:color w:val="000000"/>
          <w:sz w:val="26"/>
          <w:szCs w:val="26"/>
        </w:rPr>
      </w:pPr>
      <w:proofErr w:type="gramStart"/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>In the event that</w:t>
      </w:r>
      <w:proofErr w:type="gramEnd"/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 a retention raise is considered for a 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SEFS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faculty member, the 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SEFS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faculty will be informed. The 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SEFS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faculty waive their right to provide an advisory vote on the retention raise and delegate authority to the </w:t>
      </w:r>
      <w:proofErr w:type="gramStart"/>
      <w:r w:rsidRPr="00C93015">
        <w:rPr>
          <w:rFonts w:ascii="Calibri Light" w:eastAsia="Times New Roman" w:hAnsi="Calibri Light" w:cs="Calibri Light"/>
          <w:sz w:val="26"/>
          <w:szCs w:val="26"/>
        </w:rPr>
        <w:t>School</w:t>
      </w:r>
      <w:proofErr w:type="gramEnd"/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 Director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 to provide a recommendation to the Dean regarding the retention raise. The 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Director’s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>recommendation will be based on the recommendation provided by a majority of a group of at least five faculty spanning multiple research areas within the department. Th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e selection of this group of </w:t>
      </w:r>
      <w:proofErr w:type="gramStart"/>
      <w:r w:rsidRPr="00C93015">
        <w:rPr>
          <w:rFonts w:ascii="Calibri Light" w:eastAsia="Times New Roman" w:hAnsi="Calibri Light" w:cs="Calibri Light"/>
          <w:sz w:val="26"/>
          <w:szCs w:val="26"/>
        </w:rPr>
        <w:t>faculty</w:t>
      </w:r>
      <w:proofErr w:type="gramEnd"/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 from within SEFS will be </w:t>
      </w:r>
      <w:proofErr w:type="gramStart"/>
      <w:r w:rsidRPr="00C93015">
        <w:rPr>
          <w:rFonts w:ascii="Calibri Light" w:eastAsia="Times New Roman" w:hAnsi="Calibri Light" w:cs="Calibri Light"/>
          <w:sz w:val="26"/>
          <w:szCs w:val="26"/>
        </w:rPr>
        <w:t>done</w:t>
      </w:r>
      <w:proofErr w:type="gramEnd"/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 by the Director.  If there is not adequate representation of the research and teaching domains represented by the faculty requesting a retention offer, the Director may include advisory information from outside of SEFS. 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The decision to recommend a retention raise will require high standards, including an outstanding academic record and significant contributions to the </w:t>
      </w:r>
      <w:r w:rsidRPr="00C93015">
        <w:rPr>
          <w:rFonts w:ascii="Calibri Light" w:eastAsia="Times New Roman" w:hAnsi="Calibri Light" w:cs="Calibri Light"/>
          <w:sz w:val="26"/>
          <w:szCs w:val="26"/>
        </w:rPr>
        <w:t xml:space="preserve">School, the College of the Environment, </w:t>
      </w:r>
      <w:r w:rsidRPr="00C93015">
        <w:rPr>
          <w:rFonts w:ascii="Calibri Light" w:eastAsia="Times New Roman" w:hAnsi="Calibri Light" w:cs="Calibri Light"/>
          <w:color w:val="000000"/>
          <w:sz w:val="26"/>
          <w:szCs w:val="26"/>
        </w:rPr>
        <w:t xml:space="preserve">and other University programs relative to the rank of the faculty member. </w:t>
      </w:r>
    </w:p>
    <w:p w14:paraId="00000004" w14:textId="77777777" w:rsidR="00657F78" w:rsidRPr="00C93015" w:rsidRDefault="00C93015">
      <w:pPr>
        <w:spacing w:before="280" w:after="280" w:line="240" w:lineRule="auto"/>
        <w:rPr>
          <w:rFonts w:ascii="Calibri Light" w:eastAsia="Times New Roman" w:hAnsi="Calibri Light" w:cs="Calibri Light"/>
          <w:b/>
          <w:sz w:val="26"/>
          <w:szCs w:val="26"/>
        </w:rPr>
      </w:pPr>
      <w:r w:rsidRPr="00C93015">
        <w:rPr>
          <w:rFonts w:ascii="Calibri Light" w:eastAsia="Times New Roman" w:hAnsi="Calibri Light" w:cs="Calibri Light"/>
          <w:b/>
          <w:sz w:val="26"/>
          <w:szCs w:val="26"/>
        </w:rPr>
        <w:t xml:space="preserve">Regular Review of This Policy  </w:t>
      </w:r>
    </w:p>
    <w:p w14:paraId="00000005" w14:textId="77777777" w:rsidR="00657F78" w:rsidRPr="00C93015" w:rsidRDefault="00C93015">
      <w:pPr>
        <w:spacing w:before="280" w:after="280" w:line="240" w:lineRule="auto"/>
        <w:rPr>
          <w:rFonts w:ascii="Calibri Light" w:eastAsia="Times New Roman" w:hAnsi="Calibri Light" w:cs="Calibri Light"/>
          <w:sz w:val="26"/>
          <w:szCs w:val="26"/>
        </w:rPr>
      </w:pPr>
      <w:r w:rsidRPr="00C93015">
        <w:rPr>
          <w:rFonts w:ascii="Calibri Light" w:eastAsia="Times New Roman" w:hAnsi="Calibri Light" w:cs="Calibri Light"/>
          <w:sz w:val="26"/>
          <w:szCs w:val="26"/>
        </w:rPr>
        <w:t>This policy is reviewed every three years to ensure it continues to reflect the internal and external policies and expected needs of new hires.</w:t>
      </w:r>
    </w:p>
    <w:p w14:paraId="00000006" w14:textId="77777777" w:rsidR="00657F78" w:rsidRDefault="00657F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4" w:lineRule="auto"/>
        <w:ind w:right="26"/>
        <w:rPr>
          <w:rFonts w:ascii="Times New Roman" w:eastAsia="Times New Roman" w:hAnsi="Times New Roman" w:cs="Times New Roman"/>
          <w:sz w:val="24"/>
          <w:szCs w:val="24"/>
        </w:rPr>
      </w:pPr>
    </w:p>
    <w:sectPr w:rsidR="00657F78" w:rsidSect="00C93015">
      <w:footerReference w:type="default" r:id="rId12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FC81" w14:textId="77777777" w:rsidR="00C93015" w:rsidRDefault="00C93015" w:rsidP="00C93015">
      <w:pPr>
        <w:spacing w:line="240" w:lineRule="auto"/>
      </w:pPr>
      <w:r>
        <w:separator/>
      </w:r>
    </w:p>
  </w:endnote>
  <w:endnote w:type="continuationSeparator" w:id="0">
    <w:p w14:paraId="371506D0" w14:textId="77777777" w:rsidR="00C93015" w:rsidRDefault="00C93015" w:rsidP="00C93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7C19" w14:textId="3F7DA473" w:rsidR="00C93015" w:rsidRDefault="000739BD" w:rsidP="000739BD">
    <w:pPr>
      <w:pStyle w:val="Footer"/>
      <w:jc w:val="right"/>
    </w:pPr>
    <w:r>
      <w:t>Approved By Faculty Vote 2_9_2024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B256" w14:textId="77777777" w:rsidR="00C93015" w:rsidRDefault="00C93015" w:rsidP="00C93015">
      <w:pPr>
        <w:spacing w:line="240" w:lineRule="auto"/>
      </w:pPr>
      <w:r>
        <w:separator/>
      </w:r>
    </w:p>
  </w:footnote>
  <w:footnote w:type="continuationSeparator" w:id="0">
    <w:p w14:paraId="0A0056BD" w14:textId="77777777" w:rsidR="00C93015" w:rsidRDefault="00C93015" w:rsidP="00C930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78"/>
    <w:rsid w:val="000739BD"/>
    <w:rsid w:val="002A066B"/>
    <w:rsid w:val="00657F78"/>
    <w:rsid w:val="00C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643ED3"/>
  <w15:docId w15:val="{74D0B6EB-A4B3-42DA-9857-F87A3AF8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30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15"/>
  </w:style>
  <w:style w:type="paragraph" w:styleId="Footer">
    <w:name w:val="footer"/>
    <w:basedOn w:val="Normal"/>
    <w:link w:val="FooterChar"/>
    <w:uiPriority w:val="99"/>
    <w:unhideWhenUsed/>
    <w:rsid w:val="00C930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.edu/admin/rules/policies/FCG/FCCH2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p.washington.edu/ahr/policies/compensation/salary-adjustments/retention-salary-adjustmen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p.washington.edu/ahr/policies/compensation/salary-adjustments/retention-salary-adjust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vironment.uw.edu/intranet/personnel/academic-human-resources/salary-compens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ZgEemCKlx1g2RGqcvS9a4CgBww==">AMUW2mXNIe5c7VPpNM+dCO9lK8DaAgf39ciKAcbwwbEEGPtq138TWbwfSgZ3HiPYM0W5xQWFb6AfD8uk8JiWUAH3p4eSOZk2k9QgpOs3IpgGmF/1RccMdFY=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Keyes</dc:creator>
  <cp:lastModifiedBy>Mary Keyes</cp:lastModifiedBy>
  <cp:revision>3</cp:revision>
  <dcterms:created xsi:type="dcterms:W3CDTF">2024-02-12T22:54:00Z</dcterms:created>
  <dcterms:modified xsi:type="dcterms:W3CDTF">2024-02-12T22:56:00Z</dcterms:modified>
</cp:coreProperties>
</file>